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7F" w:rsidRPr="00DD297F" w:rsidRDefault="00DD297F" w:rsidP="00DD297F">
      <w:pPr>
        <w:shd w:val="clear" w:color="auto" w:fill="FFF1E0"/>
        <w:spacing w:before="100" w:beforeAutospacing="1" w:after="100" w:afterAutospacing="1" w:line="540" w:lineRule="atLeast"/>
        <w:outlineLvl w:val="1"/>
        <w:rPr>
          <w:rFonts w:ascii="SimSun" w:eastAsia="SimSun" w:hAnsi="SimSun" w:cs="Times New Roman" w:hint="eastAsia"/>
          <w:b/>
          <w:bCs/>
          <w:kern w:val="36"/>
          <w:sz w:val="38"/>
          <w:szCs w:val="38"/>
        </w:rPr>
      </w:pPr>
      <w:r w:rsidRPr="00DD297F">
        <w:rPr>
          <w:rFonts w:ascii="SimSun" w:eastAsia="SimSun" w:hAnsi="SimSun" w:cs="Times New Roman" w:hint="eastAsia"/>
          <w:b/>
          <w:bCs/>
          <w:kern w:val="36"/>
          <w:sz w:val="38"/>
          <w:szCs w:val="38"/>
        </w:rPr>
        <w:t xml:space="preserve">Google+新增功能吸引企业用户 </w:t>
      </w:r>
    </w:p>
    <w:p w:rsidR="004D1D3E" w:rsidRPr="00DD297F" w:rsidRDefault="00DD297F" w:rsidP="004D1D3E">
      <w:pPr>
        <w:shd w:val="clear" w:color="auto" w:fill="FFF1E0"/>
        <w:spacing w:after="0" w:line="336" w:lineRule="auto"/>
        <w:rPr>
          <w:rFonts w:ascii="SimSun" w:eastAsia="SimSun" w:hAnsi="SimSun" w:cs="Times New Roman"/>
          <w:sz w:val="21"/>
          <w:szCs w:val="21"/>
        </w:rPr>
      </w:pPr>
      <w:r w:rsidRPr="00DD297F">
        <w:rPr>
          <w:rFonts w:ascii="Georgia" w:eastAsia="SimSun" w:hAnsi="Georgia" w:cs="Times New Roman"/>
          <w:b/>
          <w:bCs/>
          <w:kern w:val="36"/>
          <w:sz w:val="38"/>
          <w:szCs w:val="38"/>
        </w:rPr>
        <w:t>New features added to Google+ in fresh push to lure businesses</w:t>
      </w:r>
      <w:hyperlink r:id="rId5" w:history="1">
        <w:r w:rsidR="004D1D3E" w:rsidRPr="00DD297F">
          <w:rPr>
            <w:rFonts w:ascii="Arial" w:eastAsia="SimSun" w:hAnsi="Arial" w:cs="Arial"/>
            <w:b/>
            <w:bCs/>
            <w:color w:val="9B164F"/>
            <w:sz w:val="21"/>
            <w:szCs w:val="21"/>
            <w:u w:val="single"/>
          </w:rPr>
          <w:t>2012</w:t>
        </w:r>
        <w:r w:rsidR="004D1D3E" w:rsidRPr="00DD297F">
          <w:rPr>
            <w:rFonts w:ascii="Arial" w:eastAsia="SimSun" w:hAnsi="Arial" w:cs="Arial"/>
            <w:b/>
            <w:bCs/>
            <w:color w:val="9B164F"/>
            <w:sz w:val="21"/>
            <w:szCs w:val="21"/>
            <w:u w:val="single"/>
          </w:rPr>
          <w:t>年</w:t>
        </w:r>
        <w:r w:rsidR="004D1D3E" w:rsidRPr="00DD297F">
          <w:rPr>
            <w:rFonts w:ascii="Arial" w:eastAsia="SimSun" w:hAnsi="Arial" w:cs="Arial"/>
            <w:b/>
            <w:bCs/>
            <w:color w:val="9B164F"/>
            <w:sz w:val="21"/>
            <w:szCs w:val="21"/>
            <w:u w:val="single"/>
          </w:rPr>
          <w:t>08</w:t>
        </w:r>
        <w:r w:rsidR="004D1D3E" w:rsidRPr="00DD297F">
          <w:rPr>
            <w:rFonts w:ascii="Arial" w:eastAsia="SimSun" w:hAnsi="Arial" w:cs="Arial"/>
            <w:b/>
            <w:bCs/>
            <w:color w:val="9B164F"/>
            <w:sz w:val="21"/>
            <w:szCs w:val="21"/>
            <w:u w:val="single"/>
          </w:rPr>
          <w:t>月</w:t>
        </w:r>
        <w:r w:rsidR="004D1D3E" w:rsidRPr="00DD297F">
          <w:rPr>
            <w:rFonts w:ascii="Arial" w:eastAsia="SimSun" w:hAnsi="Arial" w:cs="Arial"/>
            <w:b/>
            <w:bCs/>
            <w:color w:val="9B164F"/>
            <w:sz w:val="21"/>
            <w:szCs w:val="21"/>
            <w:u w:val="single"/>
          </w:rPr>
          <w:t>30</w:t>
        </w:r>
        <w:r w:rsidR="004D1D3E" w:rsidRPr="00DD297F">
          <w:rPr>
            <w:rFonts w:ascii="Arial" w:eastAsia="SimSun" w:hAnsi="Arial" w:cs="Arial"/>
            <w:b/>
            <w:bCs/>
            <w:color w:val="9B164F"/>
            <w:sz w:val="21"/>
            <w:szCs w:val="21"/>
            <w:u w:val="single"/>
          </w:rPr>
          <w:t>日</w:t>
        </w:r>
        <w:r w:rsidR="004D1D3E" w:rsidRPr="00DD297F">
          <w:rPr>
            <w:rFonts w:ascii="Arial" w:eastAsia="SimSun" w:hAnsi="Arial" w:cs="Arial"/>
            <w:b/>
            <w:bCs/>
            <w:color w:val="9B164F"/>
            <w:sz w:val="21"/>
            <w:szCs w:val="21"/>
            <w:u w:val="single"/>
          </w:rPr>
          <w:t xml:space="preserve"> 06:23 AM</w:t>
        </w:r>
      </w:hyperlink>
    </w:p>
    <w:p w:rsidR="00DD297F" w:rsidRPr="00DD297F" w:rsidRDefault="00DD297F" w:rsidP="00DD297F">
      <w:pPr>
        <w:shd w:val="clear" w:color="auto" w:fill="FFF1E0"/>
        <w:spacing w:after="120" w:line="336" w:lineRule="auto"/>
        <w:rPr>
          <w:rFonts w:ascii="SimSun" w:eastAsia="SimSun" w:hAnsi="SimSun" w:cs="Times New Roman"/>
          <w:b/>
          <w:bCs/>
          <w:color w:val="666666"/>
          <w:sz w:val="21"/>
          <w:szCs w:val="21"/>
        </w:rPr>
      </w:pPr>
      <w:r w:rsidRPr="00DD297F">
        <w:rPr>
          <w:rFonts w:ascii="SimSun" w:eastAsia="SimSun" w:hAnsi="SimSun" w:cs="Times New Roman" w:hint="eastAsia"/>
          <w:b/>
          <w:bCs/>
          <w:color w:val="666666"/>
          <w:sz w:val="21"/>
          <w:szCs w:val="21"/>
        </w:rPr>
        <w:t xml:space="preserve">英国《金融时报》 </w:t>
      </w:r>
      <w:hyperlink r:id="rId6" w:tgtFrame="_blank" w:history="1">
        <w:r w:rsidRPr="00DD297F">
          <w:rPr>
            <w:rFonts w:ascii="SimSun" w:eastAsia="SimSun" w:hAnsi="SimSun" w:cs="Times New Roman" w:hint="eastAsia"/>
            <w:b/>
            <w:bCs/>
            <w:color w:val="666666"/>
            <w:sz w:val="21"/>
            <w:szCs w:val="21"/>
            <w:u w:val="single"/>
          </w:rPr>
          <w:t>蒂姆•布拉德肖</w:t>
        </w:r>
      </w:hyperlink>
      <w:r w:rsidRPr="00DD297F">
        <w:rPr>
          <w:rFonts w:ascii="SimSun" w:eastAsia="SimSun" w:hAnsi="SimSun" w:cs="Times New Roman" w:hint="eastAsia"/>
          <w:b/>
          <w:bCs/>
          <w:color w:val="666666"/>
          <w:sz w:val="21"/>
          <w:szCs w:val="21"/>
        </w:rPr>
        <w:t xml:space="preserve"> 旧金山报道</w:t>
      </w:r>
    </w:p>
    <w:p w:rsidR="00DD297F" w:rsidRPr="00DD297F" w:rsidRDefault="00DD297F" w:rsidP="00DD297F">
      <w:pPr>
        <w:shd w:val="clear" w:color="auto" w:fill="FFF1E0"/>
        <w:spacing w:after="150" w:line="336" w:lineRule="auto"/>
        <w:rPr>
          <w:rFonts w:ascii="SimSun" w:eastAsia="SimSun" w:hAnsi="SimSun" w:cs="Times New Roman" w:hint="eastAsia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5"/>
        <w:gridCol w:w="4511"/>
      </w:tblGrid>
      <w:tr w:rsidR="00DD297F" w:rsidRPr="00DD297F" w:rsidTr="00DD297F">
        <w:trPr>
          <w:tblCellSpacing w:w="15" w:type="dxa"/>
        </w:trPr>
        <w:tc>
          <w:tcPr>
            <w:tcW w:w="2400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DD297F" w:rsidRPr="00DD297F" w:rsidRDefault="00DD297F" w:rsidP="00DD29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3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DD297F" w:rsidRPr="00DD297F" w:rsidRDefault="00DD297F" w:rsidP="00DD297F">
            <w:pPr>
              <w:spacing w:after="0" w:line="240" w:lineRule="auto"/>
              <w:jc w:val="center"/>
              <w:rPr>
                <w:rFonts w:ascii="SimSun" w:eastAsia="SimSun" w:hAnsi="SimSun" w:cs="Times New Roman"/>
                <w:sz w:val="21"/>
                <w:szCs w:val="21"/>
              </w:rPr>
            </w:pPr>
          </w:p>
        </w:tc>
      </w:tr>
      <w:tr w:rsidR="00DD297F" w:rsidRPr="00DD297F" w:rsidTr="00DD297F">
        <w:trPr>
          <w:tblCellSpacing w:w="15" w:type="dxa"/>
        </w:trPr>
        <w:tc>
          <w:tcPr>
            <w:tcW w:w="2400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DD297F" w:rsidRPr="00DD297F" w:rsidRDefault="00DD297F" w:rsidP="004D1D3E">
            <w:pPr>
              <w:spacing w:after="150" w:line="240" w:lineRule="auto"/>
              <w:ind w:firstLine="48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DD297F">
              <w:rPr>
                <w:rFonts w:ascii="Times New Roman" w:eastAsia="SimSun" w:hAnsi="Times New Roman" w:cs="Times New Roman"/>
                <w:sz w:val="24"/>
                <w:szCs w:val="24"/>
              </w:rPr>
              <w:t>Googleis</w:t>
            </w:r>
            <w:proofErr w:type="spellEnd"/>
            <w:r w:rsidRPr="00DD29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expanding its social networking service further into the corporate world to take on the likes of Microsoft’s Yammer and Salesforce.com’s Chatter.</w:t>
            </w:r>
          </w:p>
        </w:tc>
        <w:tc>
          <w:tcPr>
            <w:tcW w:w="23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DD297F" w:rsidRPr="00DD297F" w:rsidRDefault="00DD297F" w:rsidP="004D1D3E">
            <w:pPr>
              <w:spacing w:after="150" w:line="240" w:lineRule="auto"/>
              <w:ind w:firstLine="480"/>
              <w:jc w:val="both"/>
              <w:rPr>
                <w:rFonts w:ascii="KaiTi" w:eastAsia="KaiTi" w:hAnsi="KaiTi" w:cs="Times New Roman"/>
                <w:b/>
                <w:sz w:val="24"/>
                <w:szCs w:val="24"/>
              </w:rPr>
            </w:pP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谷歌(Google)正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  <w:highlight w:val="yellow"/>
              </w:rPr>
              <w:t>将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其社交网站服务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  <w:highlight w:val="yellow"/>
              </w:rPr>
              <w:t>拓展</w:t>
            </w:r>
            <w:r w:rsidRPr="00DD297F">
              <w:rPr>
                <w:rFonts w:ascii="KaiTi" w:eastAsia="KaiTi" w:hAnsi="KaiTi" w:cs="Times New Roman" w:hint="eastAsia"/>
                <w:b/>
                <w:color w:val="FF0000"/>
                <w:sz w:val="24"/>
                <w:szCs w:val="24"/>
                <w:highlight w:val="yellow"/>
              </w:rPr>
              <w:t>到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企业世界，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  <w:highlight w:val="green"/>
              </w:rPr>
              <w:t>以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  <w:highlight w:val="cyan"/>
              </w:rPr>
              <w:t>叫板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微软的Yammer以及Salesforce.com的Chatter。</w:t>
            </w:r>
          </w:p>
        </w:tc>
      </w:tr>
      <w:tr w:rsidR="00DD297F" w:rsidRPr="00DD297F" w:rsidTr="00DD297F">
        <w:trPr>
          <w:tblCellSpacing w:w="15" w:type="dxa"/>
        </w:trPr>
        <w:tc>
          <w:tcPr>
            <w:tcW w:w="2400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DD297F" w:rsidRPr="00DD297F" w:rsidRDefault="00DD297F" w:rsidP="004D1D3E">
            <w:pPr>
              <w:spacing w:after="150" w:line="240" w:lineRule="auto"/>
              <w:ind w:firstLine="48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297F">
              <w:rPr>
                <w:rFonts w:ascii="Times New Roman" w:eastAsia="SimSun" w:hAnsi="Times New Roman" w:cs="Times New Roman"/>
                <w:sz w:val="24"/>
                <w:szCs w:val="24"/>
              </w:rPr>
              <w:t>The Mountain View-based company launched Google+ in June last year but did not originally allow business customers of its Google Apps products, such as Gmail or Docs, to join the service.</w:t>
            </w:r>
          </w:p>
        </w:tc>
        <w:tc>
          <w:tcPr>
            <w:tcW w:w="23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DD297F" w:rsidRPr="00DD297F" w:rsidRDefault="00DD297F" w:rsidP="004D1D3E">
            <w:pPr>
              <w:spacing w:after="150" w:line="240" w:lineRule="auto"/>
              <w:ind w:firstLine="480"/>
              <w:jc w:val="both"/>
              <w:rPr>
                <w:rFonts w:ascii="KaiTi" w:eastAsia="KaiTi" w:hAnsi="KaiTi" w:cs="Times New Roman"/>
                <w:b/>
                <w:sz w:val="24"/>
                <w:szCs w:val="24"/>
              </w:rPr>
            </w:pP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这家总部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  <w:highlight w:val="cyan"/>
              </w:rPr>
              <w:t>位于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加州山景城(Mountain View)的公司去年6月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  <w:highlight w:val="cyan"/>
              </w:rPr>
              <w:t>推出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了Google+，但最初不允许Gmail或Docs等谷歌Apps产品的企业用户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  <w:highlight w:val="yellow"/>
              </w:rPr>
              <w:t>加入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该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  <w:highlight w:val="yellow"/>
              </w:rPr>
              <w:t>服务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。</w:t>
            </w:r>
          </w:p>
        </w:tc>
      </w:tr>
      <w:tr w:rsidR="00DD297F" w:rsidRPr="00DD297F" w:rsidTr="00DD297F">
        <w:trPr>
          <w:tblCellSpacing w:w="15" w:type="dxa"/>
        </w:trPr>
        <w:tc>
          <w:tcPr>
            <w:tcW w:w="2400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DD297F" w:rsidRPr="00DD297F" w:rsidRDefault="00DD297F" w:rsidP="004D1D3E">
            <w:pPr>
              <w:spacing w:after="150" w:line="240" w:lineRule="auto"/>
              <w:ind w:firstLine="48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297F">
              <w:rPr>
                <w:rFonts w:ascii="Times New Roman" w:eastAsia="SimSun" w:hAnsi="Times New Roman" w:cs="Times New Roman"/>
                <w:sz w:val="24"/>
                <w:szCs w:val="24"/>
              </w:rPr>
              <w:t>After allowing corporate accounts to use Google+ in November last year, it yesterday introduced extra features and security controls which it hopes will encourage more businesses to use its “Hangouts” video chat and share internal information.</w:t>
            </w:r>
          </w:p>
        </w:tc>
        <w:tc>
          <w:tcPr>
            <w:tcW w:w="23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DD297F" w:rsidRPr="00DD297F" w:rsidRDefault="00DD297F" w:rsidP="004D1D3E">
            <w:pPr>
              <w:spacing w:after="150" w:line="240" w:lineRule="auto"/>
              <w:ind w:firstLine="480"/>
              <w:jc w:val="both"/>
              <w:rPr>
                <w:rFonts w:ascii="KaiTi" w:eastAsia="KaiTi" w:hAnsi="KaiTi" w:cs="Times New Roman"/>
                <w:b/>
                <w:sz w:val="24"/>
                <w:szCs w:val="24"/>
              </w:rPr>
            </w:pP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去年11月，谷歌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  <w:highlight w:val="yellow"/>
              </w:rPr>
              <w:t>允许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企业账户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  <w:highlight w:val="yellow"/>
              </w:rPr>
              <w:t>使用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Google+，昨日该公司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  <w:highlight w:val="cyan"/>
              </w:rPr>
              <w:t>宣布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推出</w:t>
            </w:r>
            <w:r w:rsidRPr="00DD297F">
              <w:rPr>
                <w:rFonts w:ascii="KaiTi" w:eastAsia="KaiTi" w:hAnsi="KaiTi" w:cs="Times New Roman" w:hint="eastAsia"/>
                <w:b/>
                <w:color w:val="9BBB59" w:themeColor="accent3"/>
                <w:sz w:val="24"/>
                <w:szCs w:val="24"/>
              </w:rPr>
              <w:t>额外功能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和</w:t>
            </w:r>
            <w:r w:rsidRPr="00DD297F">
              <w:rPr>
                <w:rFonts w:ascii="KaiTi" w:eastAsia="KaiTi" w:hAnsi="KaiTi" w:cs="Times New Roman" w:hint="eastAsia"/>
                <w:b/>
                <w:color w:val="9BBB59" w:themeColor="accent3"/>
                <w:sz w:val="24"/>
                <w:szCs w:val="24"/>
              </w:rPr>
              <w:t>安全控制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，希望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  <w:highlight w:val="yellow"/>
              </w:rPr>
              <w:t>鼓励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更多企业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  <w:highlight w:val="yellow"/>
              </w:rPr>
              <w:t>使用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其Hangouts视频群聊功能，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  <w:highlight w:val="green"/>
              </w:rPr>
              <w:t>并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  <w:highlight w:val="yellow"/>
              </w:rPr>
              <w:t>分享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内部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  <w:highlight w:val="yellow"/>
              </w:rPr>
              <w:t>信息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。</w:t>
            </w:r>
          </w:p>
        </w:tc>
      </w:tr>
      <w:tr w:rsidR="00DD297F" w:rsidRPr="00DD297F" w:rsidTr="00DD297F">
        <w:trPr>
          <w:tblCellSpacing w:w="15" w:type="dxa"/>
        </w:trPr>
        <w:tc>
          <w:tcPr>
            <w:tcW w:w="2400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DD297F" w:rsidRPr="00DD297F" w:rsidRDefault="00DD297F" w:rsidP="004D1D3E">
            <w:pPr>
              <w:spacing w:after="150" w:line="240" w:lineRule="auto"/>
              <w:ind w:firstLine="48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29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Google’s renewed push into corporate social networking comes after a busy period of </w:t>
            </w:r>
            <w:proofErr w:type="spellStart"/>
            <w:r w:rsidRPr="00DD297F">
              <w:rPr>
                <w:rFonts w:ascii="Times New Roman" w:eastAsia="SimSun" w:hAnsi="Times New Roman" w:cs="Times New Roman"/>
                <w:sz w:val="24"/>
                <w:szCs w:val="24"/>
              </w:rPr>
              <w:t>dealmaking</w:t>
            </w:r>
            <w:proofErr w:type="spellEnd"/>
            <w:r w:rsidRPr="00DD29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in the </w:t>
            </w:r>
            <w:proofErr w:type="gramStart"/>
            <w:r w:rsidRPr="00DD297F">
              <w:rPr>
                <w:rFonts w:ascii="Times New Roman" w:eastAsia="SimSun" w:hAnsi="Times New Roman" w:cs="Times New Roman"/>
                <w:sz w:val="24"/>
                <w:szCs w:val="24"/>
              </w:rPr>
              <w:t>sector,</w:t>
            </w:r>
            <w:proofErr w:type="gramEnd"/>
            <w:r w:rsidRPr="00DD29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one of Silicon Valley’s hottest despite the decline in valuations for consumer-facing social companies such as Facebook.</w:t>
            </w:r>
          </w:p>
        </w:tc>
        <w:tc>
          <w:tcPr>
            <w:tcW w:w="23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DD297F" w:rsidRPr="00DD297F" w:rsidRDefault="00DD297F" w:rsidP="004D1D3E">
            <w:pPr>
              <w:spacing w:after="150" w:line="240" w:lineRule="auto"/>
              <w:ind w:firstLine="480"/>
              <w:jc w:val="both"/>
              <w:rPr>
                <w:rFonts w:ascii="KaiTi" w:eastAsia="KaiTi" w:hAnsi="KaiTi" w:cs="Times New Roman"/>
                <w:b/>
                <w:sz w:val="24"/>
                <w:szCs w:val="24"/>
                <w:highlight w:val="green"/>
              </w:rPr>
            </w:pP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  <w:highlight w:val="green"/>
              </w:rPr>
              <w:t>在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企业社交网络领域经历一段繁忙的并购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  <w:highlight w:val="green"/>
              </w:rPr>
              <w:t>之后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，谷歌再次发力该领域。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  <w:highlight w:val="green"/>
              </w:rPr>
              <w:t>尽管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Facebook等面向消费者的社交企业估值下滑，</w:t>
            </w:r>
            <w:proofErr w:type="gramStart"/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  <w:highlight w:val="green"/>
              </w:rPr>
              <w:t>但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企业社交网络仍是硅谷(</w:t>
            </w:r>
            <w:proofErr w:type="gramEnd"/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Silicon Valley)的热点之一。</w:t>
            </w:r>
          </w:p>
        </w:tc>
      </w:tr>
      <w:tr w:rsidR="00DD297F" w:rsidRPr="00DD297F" w:rsidTr="00DD297F">
        <w:trPr>
          <w:tblCellSpacing w:w="15" w:type="dxa"/>
        </w:trPr>
        <w:tc>
          <w:tcPr>
            <w:tcW w:w="2400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DD297F" w:rsidRPr="00DD297F" w:rsidRDefault="00DD297F" w:rsidP="004D1D3E">
            <w:pPr>
              <w:spacing w:after="150" w:line="240" w:lineRule="auto"/>
              <w:ind w:firstLine="48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29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In June, Microsoft announced that it would pay $1.2bn in cash for Yammer, a four-year old start-up, while on Monday </w:t>
            </w:r>
            <w:proofErr w:type="spellStart"/>
            <w:r w:rsidRPr="00DD297F">
              <w:rPr>
                <w:rFonts w:ascii="Times New Roman" w:eastAsia="SimSun" w:hAnsi="Times New Roman" w:cs="Times New Roman"/>
                <w:sz w:val="24"/>
                <w:szCs w:val="24"/>
              </w:rPr>
              <w:t>IBMagreed</w:t>
            </w:r>
            <w:proofErr w:type="spellEnd"/>
            <w:r w:rsidRPr="00DD29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a $1.3bn deal to acquire </w:t>
            </w:r>
            <w:proofErr w:type="spellStart"/>
            <w:r w:rsidRPr="00DD297F">
              <w:rPr>
                <w:rFonts w:ascii="Times New Roman" w:eastAsia="SimSun" w:hAnsi="Times New Roman" w:cs="Times New Roman"/>
                <w:sz w:val="24"/>
                <w:szCs w:val="24"/>
              </w:rPr>
              <w:t>Kenexa</w:t>
            </w:r>
            <w:proofErr w:type="spellEnd"/>
            <w:r w:rsidRPr="00DD297F">
              <w:rPr>
                <w:rFonts w:ascii="Times New Roman" w:eastAsia="SimSun" w:hAnsi="Times New Roman" w:cs="Times New Roman"/>
                <w:sz w:val="24"/>
                <w:szCs w:val="24"/>
              </w:rPr>
              <w:t>, which provides cloud-based software for managing and recruiting staff.</w:t>
            </w:r>
          </w:p>
        </w:tc>
        <w:tc>
          <w:tcPr>
            <w:tcW w:w="23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DD297F" w:rsidRPr="00DD297F" w:rsidRDefault="00DD297F" w:rsidP="004D1D3E">
            <w:pPr>
              <w:spacing w:after="150" w:line="240" w:lineRule="auto"/>
              <w:ind w:firstLine="480"/>
              <w:jc w:val="both"/>
              <w:rPr>
                <w:rFonts w:ascii="KaiTi" w:eastAsia="KaiTi" w:hAnsi="KaiTi" w:cs="Times New Roman"/>
                <w:b/>
                <w:sz w:val="24"/>
                <w:szCs w:val="24"/>
              </w:rPr>
            </w:pP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今年6月，微软(Microsoft)宣布以12亿美元现金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  <w:highlight w:val="yellow"/>
              </w:rPr>
              <w:t>收购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一家成立4年的初创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  <w:highlight w:val="yellow"/>
              </w:rPr>
              <w:t>企业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Yammer，本周一IBM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  <w:highlight w:val="yellow"/>
              </w:rPr>
              <w:t>达成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一项13亿美元的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  <w:highlight w:val="yellow"/>
              </w:rPr>
              <w:t>交易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，收购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  <w:highlight w:val="green"/>
              </w:rPr>
              <w:t>为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管理和招聘员工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  <w:highlight w:val="green"/>
              </w:rPr>
              <w:t>提供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云软件的</w:t>
            </w:r>
            <w:proofErr w:type="spellStart"/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Kenexa</w:t>
            </w:r>
            <w:proofErr w:type="spellEnd"/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。</w:t>
            </w:r>
          </w:p>
        </w:tc>
      </w:tr>
      <w:tr w:rsidR="00DD297F" w:rsidRPr="00DD297F" w:rsidTr="00DD297F">
        <w:trPr>
          <w:tblCellSpacing w:w="15" w:type="dxa"/>
        </w:trPr>
        <w:tc>
          <w:tcPr>
            <w:tcW w:w="2400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DD297F" w:rsidRPr="00DD297F" w:rsidRDefault="00DD297F" w:rsidP="004D1D3E">
            <w:pPr>
              <w:spacing w:after="150" w:line="240" w:lineRule="auto"/>
              <w:ind w:firstLine="48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29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These deals come on top of </w:t>
            </w:r>
            <w:proofErr w:type="spellStart"/>
            <w:r w:rsidRPr="00DD297F">
              <w:rPr>
                <w:rFonts w:ascii="Times New Roman" w:eastAsia="SimSun" w:hAnsi="Times New Roman" w:cs="Times New Roman"/>
                <w:sz w:val="24"/>
                <w:szCs w:val="24"/>
              </w:rPr>
              <w:t>Salesforce</w:t>
            </w:r>
            <w:proofErr w:type="spellEnd"/>
            <w:r w:rsidRPr="00DD297F">
              <w:rPr>
                <w:rFonts w:ascii="Times New Roman" w:eastAsia="SimSun" w:hAnsi="Times New Roman" w:cs="Times New Roman"/>
                <w:sz w:val="24"/>
                <w:szCs w:val="24"/>
              </w:rPr>
              <w:t>’s success with Chatter, a Twitter-like tool for corporate customers, and online collaboration start-ups such as Huddle, which raised $24m in venture funding in May.</w:t>
            </w:r>
          </w:p>
        </w:tc>
        <w:tc>
          <w:tcPr>
            <w:tcW w:w="23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DD297F" w:rsidRPr="00DD297F" w:rsidRDefault="00DD297F" w:rsidP="004D1D3E">
            <w:pPr>
              <w:spacing w:after="150" w:line="240" w:lineRule="auto"/>
              <w:ind w:firstLine="480"/>
              <w:jc w:val="both"/>
              <w:rPr>
                <w:rFonts w:ascii="KaiTi" w:eastAsia="KaiTi" w:hAnsi="KaiTi" w:cs="Times New Roman"/>
                <w:b/>
                <w:sz w:val="24"/>
                <w:szCs w:val="24"/>
              </w:rPr>
            </w:pP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上述交易之前，</w:t>
            </w:r>
            <w:proofErr w:type="spellStart"/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Salesforce</w:t>
            </w:r>
            <w:proofErr w:type="spellEnd"/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  <w:highlight w:val="yellow"/>
              </w:rPr>
              <w:t>供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企业客户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  <w:highlight w:val="yellow"/>
              </w:rPr>
              <w:t>使用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的类似Twitter的工具Chatter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  <w:highlight w:val="yellow"/>
              </w:rPr>
              <w:t>取得成功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，而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  <w:highlight w:val="yellow"/>
              </w:rPr>
              <w:t>提供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在线协同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  <w:highlight w:val="yellow"/>
              </w:rPr>
              <w:t>服务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的初创企业Huddle在5月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  <w:highlight w:val="yellow"/>
              </w:rPr>
              <w:t>融</w:t>
            </w:r>
            <w:r w:rsidRPr="00DD297F">
              <w:rPr>
                <w:rFonts w:ascii="KaiTi" w:eastAsia="KaiTi" w:hAnsi="KaiTi" w:cs="Times New Roman" w:hint="eastAsia"/>
                <w:b/>
                <w:color w:val="FF0000"/>
                <w:sz w:val="24"/>
                <w:szCs w:val="24"/>
                <w:highlight w:val="yellow"/>
              </w:rPr>
              <w:t>到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2400万美元风险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  <w:highlight w:val="yellow"/>
              </w:rPr>
              <w:t>资金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。</w:t>
            </w:r>
          </w:p>
        </w:tc>
      </w:tr>
      <w:tr w:rsidR="00DD297F" w:rsidRPr="00DD297F" w:rsidTr="00DD297F">
        <w:trPr>
          <w:tblCellSpacing w:w="15" w:type="dxa"/>
        </w:trPr>
        <w:tc>
          <w:tcPr>
            <w:tcW w:w="2400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DD297F" w:rsidRPr="00DD297F" w:rsidRDefault="00DD297F" w:rsidP="004D1D3E">
            <w:pPr>
              <w:spacing w:after="150" w:line="240" w:lineRule="auto"/>
              <w:ind w:firstLine="48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297F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Clay </w:t>
            </w:r>
            <w:proofErr w:type="spellStart"/>
            <w:r w:rsidRPr="00DD297F">
              <w:rPr>
                <w:rFonts w:ascii="Times New Roman" w:eastAsia="SimSun" w:hAnsi="Times New Roman" w:cs="Times New Roman"/>
                <w:sz w:val="24"/>
                <w:szCs w:val="24"/>
              </w:rPr>
              <w:t>Bavor</w:t>
            </w:r>
            <w:proofErr w:type="spellEnd"/>
            <w:r w:rsidRPr="00DD297F">
              <w:rPr>
                <w:rFonts w:ascii="Times New Roman" w:eastAsia="SimSun" w:hAnsi="Times New Roman" w:cs="Times New Roman"/>
                <w:sz w:val="24"/>
                <w:szCs w:val="24"/>
              </w:rPr>
              <w:t>, product management director for Google Apps, said he believed that Google had an advantage over its competitors because it offered to businesses the same products that consumers used at home.</w:t>
            </w:r>
          </w:p>
        </w:tc>
        <w:tc>
          <w:tcPr>
            <w:tcW w:w="23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DD297F" w:rsidRPr="00DD297F" w:rsidRDefault="00DD297F" w:rsidP="004D1D3E">
            <w:pPr>
              <w:spacing w:after="150" w:line="240" w:lineRule="auto"/>
              <w:ind w:firstLine="480"/>
              <w:jc w:val="both"/>
              <w:rPr>
                <w:rFonts w:ascii="KaiTi" w:eastAsia="KaiTi" w:hAnsi="KaiTi" w:cs="Times New Roman"/>
                <w:b/>
                <w:sz w:val="24"/>
                <w:szCs w:val="24"/>
              </w:rPr>
            </w:pP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 xml:space="preserve">谷歌Apps产品管理总监克莱·巴沃尔(Clay </w:t>
            </w:r>
            <w:proofErr w:type="spellStart"/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Bavor</w:t>
            </w:r>
            <w:proofErr w:type="spellEnd"/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)表示，他认为Google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  <w:highlight w:val="green"/>
              </w:rPr>
              <w:t>比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竞争对手拥有优势，因为谷歌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  <w:highlight w:val="green"/>
              </w:rPr>
              <w:t>向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企业提供的服务，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  <w:highlight w:val="green"/>
              </w:rPr>
              <w:t>与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消费者在家使用的服务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  <w:highlight w:val="green"/>
              </w:rPr>
              <w:t>一样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。</w:t>
            </w:r>
          </w:p>
        </w:tc>
      </w:tr>
      <w:tr w:rsidR="00DD297F" w:rsidRPr="00DD297F" w:rsidTr="00DD297F">
        <w:trPr>
          <w:tblCellSpacing w:w="15" w:type="dxa"/>
        </w:trPr>
        <w:tc>
          <w:tcPr>
            <w:tcW w:w="2400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DD297F" w:rsidRPr="00DD297F" w:rsidRDefault="00DD297F" w:rsidP="004D1D3E">
            <w:pPr>
              <w:spacing w:after="150" w:line="240" w:lineRule="auto"/>
              <w:ind w:firstLine="48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297F">
              <w:rPr>
                <w:rFonts w:ascii="Times New Roman" w:eastAsia="SimSun" w:hAnsi="Times New Roman" w:cs="Times New Roman"/>
                <w:sz w:val="24"/>
                <w:szCs w:val="24"/>
              </w:rPr>
              <w:t>Google+ now allows corporate customers to post content that can only be seen by fellow employees, administrative controls and the ability to start a “Hangout” instantly from within Gmail or Google Calendar.</w:t>
            </w:r>
          </w:p>
        </w:tc>
        <w:tc>
          <w:tcPr>
            <w:tcW w:w="23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DD297F" w:rsidRPr="00DD297F" w:rsidRDefault="00DD297F" w:rsidP="00E52CBD">
            <w:pPr>
              <w:spacing w:after="150" w:line="240" w:lineRule="auto"/>
              <w:ind w:firstLine="480"/>
              <w:jc w:val="both"/>
              <w:rPr>
                <w:rFonts w:ascii="KaiTi" w:eastAsia="KaiTi" w:hAnsi="KaiTi" w:cs="Times New Roman"/>
                <w:b/>
                <w:sz w:val="24"/>
                <w:szCs w:val="24"/>
              </w:rPr>
            </w:pP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Google+现在允许企业客户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  <w:highlight w:val="yellow"/>
              </w:rPr>
              <w:t>发布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只能被同事</w:t>
            </w:r>
            <w:r w:rsidR="00E52CBD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和网管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看到的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  <w:highlight w:val="yellow"/>
              </w:rPr>
              <w:t>内容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，</w:t>
            </w:r>
            <w:proofErr w:type="gramStart"/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并</w:t>
            </w:r>
            <w:r w:rsidR="00E52CBD">
              <w:rPr>
                <w:rFonts w:ascii="KaiTi" w:eastAsia="KaiTi" w:hAnsi="KaiTi" w:cs="Times New Roman" w:hint="eastAsia"/>
                <w:b/>
                <w:sz w:val="24"/>
                <w:szCs w:val="24"/>
                <w:highlight w:val="yellow"/>
              </w:rPr>
              <w:t>具有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在Gmail或谷歌日历(</w:t>
            </w:r>
            <w:proofErr w:type="gramEnd"/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Google Calendar)中立刻进行Hango</w:t>
            </w:r>
            <w:bookmarkStart w:id="0" w:name="_GoBack"/>
            <w:bookmarkEnd w:id="0"/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ut视频群聊的</w:t>
            </w:r>
            <w:r w:rsidR="00E52CBD">
              <w:rPr>
                <w:rFonts w:ascii="KaiTi" w:eastAsia="KaiTi" w:hAnsi="KaiTi" w:cs="Times New Roman" w:hint="eastAsia"/>
                <w:b/>
                <w:sz w:val="24"/>
                <w:szCs w:val="24"/>
                <w:highlight w:val="yellow"/>
              </w:rPr>
              <w:t>功能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。</w:t>
            </w:r>
          </w:p>
        </w:tc>
      </w:tr>
      <w:tr w:rsidR="00DD297F" w:rsidRPr="00DD297F" w:rsidTr="00DD297F">
        <w:trPr>
          <w:tblCellSpacing w:w="15" w:type="dxa"/>
        </w:trPr>
        <w:tc>
          <w:tcPr>
            <w:tcW w:w="2400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DD297F" w:rsidRPr="00DD297F" w:rsidRDefault="00DD297F" w:rsidP="004D1D3E">
            <w:pPr>
              <w:spacing w:after="150" w:line="240" w:lineRule="auto"/>
              <w:ind w:firstLine="48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297F">
              <w:rPr>
                <w:rFonts w:ascii="Times New Roman" w:eastAsia="SimSun" w:hAnsi="Times New Roman" w:cs="Times New Roman"/>
                <w:sz w:val="24"/>
                <w:szCs w:val="24"/>
              </w:rPr>
              <w:t>Google said in June that it had 5m businesses using Google Apps, totalling tens of millions of individual user accounts.</w:t>
            </w:r>
          </w:p>
        </w:tc>
        <w:tc>
          <w:tcPr>
            <w:tcW w:w="23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DD297F" w:rsidRPr="00DD297F" w:rsidRDefault="00DD297F" w:rsidP="004D1D3E">
            <w:pPr>
              <w:spacing w:after="150" w:line="240" w:lineRule="auto"/>
              <w:ind w:firstLine="480"/>
              <w:jc w:val="both"/>
              <w:rPr>
                <w:rFonts w:ascii="KaiTi" w:eastAsia="KaiTi" w:hAnsi="KaiTi" w:cs="Times New Roman"/>
                <w:b/>
                <w:sz w:val="24"/>
                <w:szCs w:val="24"/>
              </w:rPr>
            </w:pP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今年6月谷歌表示，使用谷歌Apps的企业已达500万家，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  <w:highlight w:val="green"/>
              </w:rPr>
              <w:t>总共有</w:t>
            </w: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数千万个别用户账户。</w:t>
            </w:r>
          </w:p>
        </w:tc>
      </w:tr>
      <w:tr w:rsidR="00DD297F" w:rsidRPr="00DD297F" w:rsidTr="00DD297F">
        <w:trPr>
          <w:tblCellSpacing w:w="15" w:type="dxa"/>
        </w:trPr>
        <w:tc>
          <w:tcPr>
            <w:tcW w:w="2400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DD297F" w:rsidRPr="00DD297F" w:rsidRDefault="00DD297F" w:rsidP="004D1D3E">
            <w:pPr>
              <w:spacing w:after="0" w:line="240" w:lineRule="auto"/>
              <w:jc w:val="both"/>
              <w:rPr>
                <w:rFonts w:ascii="SimSun" w:eastAsia="SimSun" w:hAnsi="SimSun" w:cs="Times New Roman"/>
                <w:sz w:val="24"/>
                <w:szCs w:val="24"/>
              </w:rPr>
            </w:pPr>
          </w:p>
        </w:tc>
        <w:tc>
          <w:tcPr>
            <w:tcW w:w="23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DD297F" w:rsidRPr="00DD297F" w:rsidRDefault="00DD297F" w:rsidP="004D1D3E">
            <w:pPr>
              <w:spacing w:after="150" w:line="240" w:lineRule="auto"/>
              <w:ind w:firstLine="480"/>
              <w:jc w:val="both"/>
              <w:rPr>
                <w:rFonts w:ascii="KaiTi" w:eastAsia="KaiTi" w:hAnsi="KaiTi" w:cs="Times New Roman"/>
                <w:b/>
                <w:sz w:val="24"/>
                <w:szCs w:val="24"/>
              </w:rPr>
            </w:pPr>
            <w:r w:rsidRPr="00DD297F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译者/倪卫国</w:t>
            </w:r>
          </w:p>
        </w:tc>
      </w:tr>
    </w:tbl>
    <w:p w:rsidR="00DB2C09" w:rsidRPr="004D1D3E" w:rsidRDefault="00DB2C09" w:rsidP="004D1D3E">
      <w:pPr>
        <w:jc w:val="both"/>
        <w:rPr>
          <w:sz w:val="24"/>
          <w:szCs w:val="24"/>
        </w:rPr>
      </w:pPr>
    </w:p>
    <w:sectPr w:rsidR="00DB2C09" w:rsidRPr="004D1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7F"/>
    <w:rsid w:val="00390F25"/>
    <w:rsid w:val="004D1D3E"/>
    <w:rsid w:val="0059442D"/>
    <w:rsid w:val="008456B2"/>
    <w:rsid w:val="00BC5734"/>
    <w:rsid w:val="00DB2C09"/>
    <w:rsid w:val="00DD297F"/>
    <w:rsid w:val="00E5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29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2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9DECF"/>
          </w:divBdr>
          <w:divsChild>
            <w:div w:id="16077549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61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7282">
                  <w:marLeft w:val="0"/>
                  <w:marRight w:val="120"/>
                  <w:marTop w:val="0"/>
                  <w:marBottom w:val="0"/>
                  <w:divBdr>
                    <w:top w:val="single" w:sz="6" w:space="0" w:color="FFF1E0"/>
                    <w:left w:val="single" w:sz="6" w:space="0" w:color="FFF1E0"/>
                    <w:bottom w:val="single" w:sz="6" w:space="0" w:color="FFF1E0"/>
                    <w:right w:val="single" w:sz="6" w:space="0" w:color="FFF1E0"/>
                  </w:divBdr>
                </w:div>
                <w:div w:id="626010873">
                  <w:marLeft w:val="0"/>
                  <w:marRight w:val="120"/>
                  <w:marTop w:val="0"/>
                  <w:marBottom w:val="0"/>
                  <w:divBdr>
                    <w:top w:val="single" w:sz="6" w:space="0" w:color="FFF1E0"/>
                    <w:left w:val="single" w:sz="6" w:space="0" w:color="FFF1E0"/>
                    <w:bottom w:val="single" w:sz="6" w:space="0" w:color="FFF1E0"/>
                    <w:right w:val="single" w:sz="6" w:space="0" w:color="FFF1E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tchinese.com/search/%E8%92%82%E5%A7%86%E2%80%A2%E5%B8%83%E6%8B%89%E5%BE%B7%E8%82%96/relative_byline" TargetMode="External"/><Relationship Id="rId5" Type="http://schemas.openxmlformats.org/officeDocument/2006/relationships/hyperlink" Target="http://www.ftchinese.com/archiver/2012-08-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Cheng</dc:creator>
  <cp:lastModifiedBy>Linda Cheng</cp:lastModifiedBy>
  <cp:revision>4</cp:revision>
  <dcterms:created xsi:type="dcterms:W3CDTF">2012-08-31T14:08:00Z</dcterms:created>
  <dcterms:modified xsi:type="dcterms:W3CDTF">2012-08-31T19:51:00Z</dcterms:modified>
</cp:coreProperties>
</file>